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Bauer, Cobb-Hunter, King, Ott, McDaniel, Jefferson, McCabe, White, Cromer, Beach, Oremus, Trantham, Bustos, Burns, Dillard, Willis, Magnuson and Harris</w:t>
      </w:r>
    </w:p>
    <w:p>
      <w:pPr>
        <w:widowControl w:val="false"/>
        <w:spacing w:after="0"/>
        <w:jc w:val="left"/>
      </w:pPr>
      <w:r>
        <w:rPr>
          <w:rFonts w:ascii="Times New Roman"/>
          <w:sz w:val="22"/>
        </w:rPr>
        <w:t xml:space="preserve">Companion/Similar bill(s): 130, 178, 248, 444, 450, 872, 3022, 3447, 4183</w:t>
      </w:r>
    </w:p>
    <w:p>
      <w:pPr>
        <w:widowControl w:val="false"/>
        <w:spacing w:after="0"/>
        <w:jc w:val="left"/>
      </w:pPr>
      <w:r>
        <w:rPr>
          <w:rFonts w:ascii="Times New Roman"/>
          <w:sz w:val="22"/>
        </w:rPr>
        <w:t xml:space="preserve">Document Path: LC-0109HA23.docx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Merit Selection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ea6739c76de246dc">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96226030495944be">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King, Rivers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Ott, 
 McDaniel, Jefferson, Anderson, Gilliard
 </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McCabe, White
 </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Cromer, 
 Beach, Oremus
 </w:t>
      </w:r>
    </w:p>
    <w:p>
      <w:pPr>
        <w:widowControl w:val="false"/>
        <w:tabs>
          <w:tab w:val="right" w:pos="1008"/>
          <w:tab w:val="left" w:pos="1152"/>
          <w:tab w:val="left" w:pos="1872"/>
          <w:tab w:val="left" w:pos="9187"/>
        </w:tabs>
        <w:spacing w:after="0"/>
        <w:ind w:left="2088" w:hanging="2088"/>
      </w:pPr>
      <w:r>
        <w:tab/>
        <w:t>4/25/2023</w:t>
      </w:r>
      <w:r>
        <w:tab/>
        <w:t>House</w:t>
      </w:r>
      <w:r>
        <w:tab/>
        <w:t>Member(s) request name added as sponsor:
 Trantham, Bustos, Burns, Dillard, Willis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Magnuson, Harris
 </w:t>
      </w:r>
    </w:p>
    <w:p>
      <w:pPr>
        <w:widowControl w:val="false"/>
        <w:tabs>
          <w:tab w:val="right" w:pos="1008"/>
          <w:tab w:val="left" w:pos="1152"/>
          <w:tab w:val="left" w:pos="1872"/>
          <w:tab w:val="left" w:pos="9187"/>
        </w:tabs>
        <w:spacing w:after="0"/>
        <w:ind w:left="2088" w:hanging="2088"/>
      </w:pPr>
      <w:r>
        <w:tab/>
        <w:t>5/3/2023</w:t>
      </w:r>
      <w:r>
        <w:tab/>
        <w:t>House</w:t>
      </w:r>
      <w:r>
        <w:tab/>
        <w:t>Member(s) request name removed as sponsor:
 Gilliard, Anderson
 </w:t>
      </w:r>
    </w:p>
    <w:p>
      <w:pPr>
        <w:widowControl w:val="false"/>
        <w:tabs>
          <w:tab w:val="right" w:pos="1008"/>
          <w:tab w:val="left" w:pos="1152"/>
          <w:tab w:val="left" w:pos="1872"/>
          <w:tab w:val="left" w:pos="9187"/>
        </w:tabs>
        <w:spacing w:after="0"/>
        <w:ind w:left="2088" w:hanging="2088"/>
      </w:pPr>
      <w:r>
        <w:tab/>
        <w:t>5/4/2023</w:t>
      </w:r>
      <w:r>
        <w:tab/>
        <w:t>House</w:t>
      </w:r>
      <w:r>
        <w:tab/>
        <w:t>Member(s) request name removed as sponsor: Rivers
 </w:t>
      </w:r>
    </w:p>
    <w:p>
      <w:pPr>
        <w:widowControl w:val="false"/>
        <w:spacing w:after="0"/>
        <w:jc w:val="left"/>
      </w:pPr>
    </w:p>
    <w:p>
      <w:pPr>
        <w:widowControl w:val="false"/>
        <w:spacing w:after="0"/>
        <w:jc w:val="left"/>
      </w:pPr>
      <w:r>
        <w:rPr>
          <w:rFonts w:ascii="Times New Roman"/>
          <w:sz w:val="22"/>
        </w:rPr>
        <w:t xml:space="preserve">View the latest </w:t>
      </w:r>
      <w:hyperlink r:id="R185cff9ba7f84f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31a9828ba44e4c">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E4231" w:rsidRDefault="00432135" w14:paraId="47642A99" w14:textId="1ED5B59F">
      <w:pPr>
        <w:pStyle w:val="scemptylineheader"/>
      </w:pPr>
    </w:p>
    <w:p w:rsidRPr="00BB0725" w:rsidR="00A73EFA" w:rsidP="00DE4231" w:rsidRDefault="00A73EFA" w14:paraId="7B72410E" w14:textId="07A55D99">
      <w:pPr>
        <w:pStyle w:val="scemptylineheader"/>
      </w:pPr>
    </w:p>
    <w:p w:rsidRPr="00BB0725" w:rsidR="00A73EFA" w:rsidP="00DE4231" w:rsidRDefault="00A73EFA" w14:paraId="6AD935C9" w14:textId="6E0458F9">
      <w:pPr>
        <w:pStyle w:val="scemptylineheader"/>
      </w:pPr>
    </w:p>
    <w:p w:rsidRPr="00DF3B44" w:rsidR="00A73EFA" w:rsidP="00DE4231" w:rsidRDefault="00A73EFA" w14:paraId="51A98227" w14:textId="37D6309C">
      <w:pPr>
        <w:pStyle w:val="scemptylineheader"/>
      </w:pPr>
    </w:p>
    <w:p w:rsidRPr="00DF3B44" w:rsidR="00A73EFA" w:rsidP="00DE4231" w:rsidRDefault="00A73EFA" w14:paraId="3858851A" w14:textId="2F1396BB">
      <w:pPr>
        <w:pStyle w:val="scemptylineheader"/>
      </w:pPr>
    </w:p>
    <w:p w:rsidRPr="00DF3B44" w:rsidR="00A73EFA" w:rsidP="00DE4231" w:rsidRDefault="00A73EFA" w14:paraId="4E3DDE20" w14:textId="1D8A57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C4797" w14:paraId="40FEFADA" w14:textId="1867C3BA">
          <w:pPr>
            <w:pStyle w:val="scbilltitle"/>
            <w:tabs>
              <w:tab w:val="left" w:pos="2104"/>
            </w:tabs>
          </w:pPr>
          <w:r>
            <w:t>TO AMEND THE SOUTH CAROLINA CODE OF LAWS BY AMENDING SECTION 2‑19‑10, RELATING TO THE MEMBERSHIP OF THE JUDICIAL MERIT SELECTION COMMISSION, SO AS TO PROVIDE THAT THE GOVERNOR APPOINT SIX MEMBERS OF THE COMMISSION, THE PRESIDENT OF THE SENATE APPOINT TWO MEMBERS, AND THE SPEAKER OF THE HOUSE OF REPRESENTATIVES APPOINT TWO MEMBERS, AND TO PROHIBIT A MEMBER OF THE GENERAL ASSEMBLY FROM SERVING AS A MEMBER OF THE COMMISSION; AND BY AMENDING SECTION 2‑19‑80, RELATING TO THE NOMINATION OF QUALIFIED CANDIDATES BY THE JUDICIAL MERIT SELECTION COMMISSION TO THE GENERAL ASSEMBLY, SO AS TO PROVIDE THAT ALL QUALIFIED CANDIDATES BE SUBMITTED TO THE GENERAL ASSEMBLY FOR CONSIDERATION, AND THAT THE COMMISSION PROVIDE A WRITTEN EXPLANATION TO A CANDIDATE FOUND NOT QUALIFIED.</w:t>
          </w:r>
        </w:p>
      </w:sdtContent>
    </w:sdt>
    <w:bookmarkStart w:name="at_5422acf8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b96a2f1b" w:id="1"/>
      <w:r w:rsidRPr="0094541D">
        <w:t>B</w:t>
      </w:r>
      <w:bookmarkEnd w:id="1"/>
      <w:r w:rsidRPr="0094541D">
        <w:t>e it enacted by the General Assembly of the State of South Carolina:</w:t>
      </w:r>
    </w:p>
    <w:p w:rsidR="002A1C0B" w:rsidP="00B81CAF" w:rsidRDefault="002A1C0B" w14:paraId="0A95B071" w14:textId="77777777">
      <w:pPr>
        <w:pStyle w:val="scemptyline"/>
      </w:pPr>
    </w:p>
    <w:p w:rsidR="002A1C0B" w:rsidP="00B81CAF" w:rsidRDefault="00D55BBC" w14:paraId="292D3F48" w14:textId="74E6EB57">
      <w:pPr>
        <w:pStyle w:val="scdirectionallanguage"/>
      </w:pPr>
      <w:bookmarkStart w:name="bs_num_1_sub_A_31cc97733" w:id="2"/>
      <w:r>
        <w:t>S</w:t>
      </w:r>
      <w:bookmarkEnd w:id="2"/>
      <w:r>
        <w:t>ECTION 1.A.</w:t>
      </w:r>
      <w:r w:rsidR="002A1C0B">
        <w:tab/>
      </w:r>
      <w:bookmarkStart w:name="dl_9d9ee5cf2" w:id="3"/>
      <w:r w:rsidR="002A1C0B">
        <w:t>S</w:t>
      </w:r>
      <w:bookmarkEnd w:id="3"/>
      <w:r w:rsidR="002A1C0B">
        <w:t>ection 2‑19‑10(B) of the S.C. Code is amended to read:</w:t>
      </w:r>
    </w:p>
    <w:p w:rsidR="002A1C0B" w:rsidP="00B81CAF" w:rsidRDefault="002A1C0B" w14:paraId="30461665" w14:textId="77777777">
      <w:pPr>
        <w:pStyle w:val="scemptyline"/>
      </w:pPr>
    </w:p>
    <w:p w:rsidR="002A1C0B" w:rsidP="002A1C0B" w:rsidRDefault="002A1C0B" w14:paraId="28FF1BD7" w14:textId="77777777">
      <w:pPr>
        <w:pStyle w:val="sccodifiedsection"/>
      </w:pPr>
      <w:bookmarkStart w:name="cs_T2C19N10_74bb0ddd1" w:id="4"/>
      <w:r>
        <w:tab/>
      </w:r>
      <w:bookmarkStart w:name="ss_T2C19N10SB_lv1_2e51fbbbf" w:id="5"/>
      <w:bookmarkEnd w:id="4"/>
      <w:r>
        <w:t>(</w:t>
      </w:r>
      <w:bookmarkEnd w:id="5"/>
      <w:r>
        <w:t>B) Notwithstanding any other provision of law, the Judicial Merit Selection Commission shall consist of the following individuals:</w:t>
      </w:r>
    </w:p>
    <w:p w:rsidR="002A1C0B" w:rsidDel="002A1C0B" w:rsidP="002A1C0B" w:rsidRDefault="002A1C0B" w14:paraId="56B63C92" w14:textId="0A16F7E1">
      <w:pPr>
        <w:pStyle w:val="sccodifiedsection"/>
      </w:pPr>
      <w:r>
        <w:rPr>
          <w:rStyle w:val="scstrike"/>
        </w:rPr>
        <w:tab/>
      </w:r>
      <w:r>
        <w:rPr>
          <w:rStyle w:val="scstrike"/>
        </w:rPr>
        <w:tab/>
      </w:r>
      <w:bookmarkStart w:name="ss_T2C19N10S1_lv2_0a9580d29" w:id="6"/>
      <w:r>
        <w:rPr>
          <w:rStyle w:val="scstrike"/>
        </w:rPr>
        <w:t>(</w:t>
      </w:r>
      <w:bookmarkEnd w:id="6"/>
      <w:r>
        <w:rPr>
          <w:rStyle w:val="scstrike"/>
        </w:rPr>
        <w:t>1) five members appointed by the Speaker of the House of Representatives and of these appointments:</w:t>
      </w:r>
    </w:p>
    <w:p w:rsidR="002A1C0B" w:rsidDel="002A1C0B" w:rsidP="002A1C0B" w:rsidRDefault="002A1C0B" w14:paraId="0092C562" w14:textId="2E301D60">
      <w:pPr>
        <w:pStyle w:val="sccodifiedsection"/>
      </w:pPr>
      <w:r>
        <w:rPr>
          <w:rStyle w:val="scstrike"/>
        </w:rPr>
        <w:tab/>
      </w:r>
      <w:r>
        <w:rPr>
          <w:rStyle w:val="scstrike"/>
        </w:rPr>
        <w:tab/>
      </w:r>
      <w:r>
        <w:rPr>
          <w:rStyle w:val="scstrike"/>
        </w:rPr>
        <w:tab/>
      </w:r>
      <w:bookmarkStart w:name="ss_T2C19N10Sa_lv3_976b298a5" w:id="7"/>
      <w:r>
        <w:rPr>
          <w:rStyle w:val="scstrike"/>
        </w:rPr>
        <w:t>(</w:t>
      </w:r>
      <w:bookmarkEnd w:id="7"/>
      <w:r>
        <w:rPr>
          <w:rStyle w:val="scstrike"/>
        </w:rPr>
        <w:t>a) three members must be serving members of the General Assembly;  and</w:t>
      </w:r>
    </w:p>
    <w:p w:rsidR="002A1C0B" w:rsidDel="002A1C0B" w:rsidP="002A1C0B" w:rsidRDefault="002A1C0B" w14:paraId="4C06D019" w14:textId="06E3ACEB">
      <w:pPr>
        <w:pStyle w:val="sccodifiedsection"/>
      </w:pPr>
      <w:r>
        <w:rPr>
          <w:rStyle w:val="scstrike"/>
        </w:rPr>
        <w:tab/>
      </w:r>
      <w:r>
        <w:rPr>
          <w:rStyle w:val="scstrike"/>
        </w:rPr>
        <w:tab/>
      </w:r>
      <w:r>
        <w:rPr>
          <w:rStyle w:val="scstrike"/>
        </w:rPr>
        <w:tab/>
      </w:r>
      <w:bookmarkStart w:name="ss_T2C19N10Sb_lv3_eecfd9c22" w:id="8"/>
      <w:r>
        <w:rPr>
          <w:rStyle w:val="scstrike"/>
        </w:rPr>
        <w:t>(</w:t>
      </w:r>
      <w:bookmarkEnd w:id="8"/>
      <w:r>
        <w:rPr>
          <w:rStyle w:val="scstrike"/>
        </w:rPr>
        <w:t>b) two members must be selected from the general public;</w:t>
      </w:r>
    </w:p>
    <w:p w:rsidR="002A1C0B" w:rsidDel="002A1C0B" w:rsidP="002A1C0B" w:rsidRDefault="002A1C0B" w14:paraId="4ECF1198" w14:textId="6920FABF">
      <w:pPr>
        <w:pStyle w:val="sccodifiedsection"/>
      </w:pPr>
      <w:r>
        <w:rPr>
          <w:rStyle w:val="scstrike"/>
        </w:rPr>
        <w:tab/>
      </w:r>
      <w:r>
        <w:rPr>
          <w:rStyle w:val="scstrike"/>
        </w:rPr>
        <w:tab/>
      </w:r>
      <w:bookmarkStart w:name="ss_T2C19N10S2_lv2_52c03e9cd" w:id="9"/>
      <w:r>
        <w:rPr>
          <w:rStyle w:val="scstrike"/>
        </w:rPr>
        <w:t>(</w:t>
      </w:r>
      <w:bookmarkEnd w:id="9"/>
      <w:r>
        <w:rPr>
          <w:rStyle w:val="scstrike"/>
        </w:rPr>
        <w:t>2) three members, appointed by the Chairman of the Senate Judiciary Committee, who must be serving members of the Senate;  and</w:t>
      </w:r>
    </w:p>
    <w:p w:rsidR="002A1C0B" w:rsidDel="00EC1E9C" w:rsidP="002A1C0B" w:rsidRDefault="002A1C0B" w14:paraId="0002F8B7" w14:textId="34240B33">
      <w:pPr>
        <w:pStyle w:val="sccodifiedsection"/>
      </w:pPr>
      <w:r>
        <w:rPr>
          <w:rStyle w:val="scstrike"/>
        </w:rPr>
        <w:tab/>
      </w:r>
      <w:r>
        <w:rPr>
          <w:rStyle w:val="scstrike"/>
        </w:rPr>
        <w:tab/>
      </w:r>
      <w:bookmarkStart w:name="ss_T2C19N10S3_lv2_fb82d087c" w:id="10"/>
      <w:r>
        <w:rPr>
          <w:rStyle w:val="scstrike"/>
        </w:rPr>
        <w:t>(</w:t>
      </w:r>
      <w:bookmarkEnd w:id="10"/>
      <w:r>
        <w:rPr>
          <w:rStyle w:val="scstrike"/>
        </w:rPr>
        <w:t>3) two members, appointed by the President of the Senate, who must be selected from the general public.</w:t>
      </w:r>
    </w:p>
    <w:p w:rsidR="00EC1E9C" w:rsidP="002A1C0B" w:rsidRDefault="00EC1E9C" w14:paraId="65CE68D6" w14:textId="54349481">
      <w:pPr>
        <w:pStyle w:val="sccodifiedsection"/>
      </w:pPr>
      <w:r>
        <w:rPr>
          <w:rStyle w:val="scinsert"/>
        </w:rPr>
        <w:tab/>
      </w:r>
      <w:r>
        <w:rPr>
          <w:rStyle w:val="scinsert"/>
        </w:rPr>
        <w:tab/>
      </w:r>
      <w:bookmarkStart w:name="ss_T2C19N10S1_lv2_76d031ea4" w:id="11"/>
      <w:r>
        <w:rPr>
          <w:rStyle w:val="scinsert"/>
        </w:rPr>
        <w:t>(</w:t>
      </w:r>
      <w:bookmarkEnd w:id="11"/>
      <w:r>
        <w:rPr>
          <w:rStyle w:val="scinsert"/>
        </w:rPr>
        <w:t>1) six members appointed by the Governor, of which at least one member must be recommended by the South Carolina Bar Association;</w:t>
      </w:r>
    </w:p>
    <w:p w:rsidR="00EC1E9C" w:rsidP="002A1C0B" w:rsidRDefault="00EC1E9C" w14:paraId="0031F70D" w14:textId="2B2111F0">
      <w:pPr>
        <w:pStyle w:val="sccodifiedsection"/>
      </w:pPr>
      <w:r>
        <w:rPr>
          <w:rStyle w:val="scinsert"/>
        </w:rPr>
        <w:tab/>
      </w:r>
      <w:r>
        <w:rPr>
          <w:rStyle w:val="scinsert"/>
        </w:rPr>
        <w:tab/>
      </w:r>
      <w:bookmarkStart w:name="ss_T2C19N10S2_lv2_3932b3a92" w:id="12"/>
      <w:r>
        <w:rPr>
          <w:rStyle w:val="scinsert"/>
        </w:rPr>
        <w:t>(</w:t>
      </w:r>
      <w:bookmarkEnd w:id="12"/>
      <w:r>
        <w:rPr>
          <w:rStyle w:val="scinsert"/>
        </w:rPr>
        <w:t>2) two members appointed by the President of the Senate; and</w:t>
      </w:r>
    </w:p>
    <w:p w:rsidR="00EC1E9C" w:rsidP="002A1C0B" w:rsidRDefault="00EC1E9C" w14:paraId="2EB9F75C" w14:textId="65AEDB52">
      <w:pPr>
        <w:pStyle w:val="sccodifiedsection"/>
      </w:pPr>
      <w:r>
        <w:rPr>
          <w:rStyle w:val="scinsert"/>
        </w:rPr>
        <w:tab/>
      </w:r>
      <w:r>
        <w:rPr>
          <w:rStyle w:val="scinsert"/>
        </w:rPr>
        <w:tab/>
      </w:r>
      <w:bookmarkStart w:name="ss_T2C19N10S3_lv2_f7ab497ec" w:id="13"/>
      <w:r>
        <w:rPr>
          <w:rStyle w:val="scinsert"/>
        </w:rPr>
        <w:t>(</w:t>
      </w:r>
      <w:bookmarkEnd w:id="13"/>
      <w:r>
        <w:rPr>
          <w:rStyle w:val="scinsert"/>
        </w:rPr>
        <w:t>3) two members appointed b</w:t>
      </w:r>
      <w:r w:rsidR="002D7C39">
        <w:rPr>
          <w:rStyle w:val="scinsert"/>
        </w:rPr>
        <w:t>y</w:t>
      </w:r>
      <w:r>
        <w:rPr>
          <w:rStyle w:val="scinsert"/>
        </w:rPr>
        <w:t xml:space="preserve"> the Speaker of the House of Representatives.</w:t>
      </w:r>
    </w:p>
    <w:p w:rsidR="00B74AA4" w:rsidP="00B74AA4" w:rsidRDefault="00B74AA4" w14:paraId="3C4A7687" w14:textId="77777777">
      <w:pPr>
        <w:pStyle w:val="scemptyline"/>
      </w:pPr>
    </w:p>
    <w:p w:rsidR="003318BD" w:rsidP="003318BD" w:rsidRDefault="00B74AA4" w14:paraId="06C51992" w14:textId="68ABBAAD">
      <w:pPr>
        <w:pStyle w:val="scdirectionallanguage"/>
      </w:pPr>
      <w:bookmarkStart w:name="bs_num_1_sub_B_c21464870" w:id="14"/>
      <w:r>
        <w:t>B</w:t>
      </w:r>
      <w:bookmarkEnd w:id="14"/>
      <w:r>
        <w:t>.</w:t>
      </w:r>
      <w:r>
        <w:tab/>
      </w:r>
      <w:bookmarkStart w:name="dl_6dba19a20" w:id="15"/>
      <w:r w:rsidR="003318BD">
        <w:t>S</w:t>
      </w:r>
      <w:bookmarkEnd w:id="15"/>
      <w:r w:rsidR="003318BD">
        <w:t>ection 2-19-10(D) of the S.C. Code is amended to read:</w:t>
      </w:r>
    </w:p>
    <w:p w:rsidR="003318BD" w:rsidP="003318BD" w:rsidRDefault="003318BD" w14:paraId="1203B3F8" w14:textId="77777777">
      <w:pPr>
        <w:pStyle w:val="scemptyline"/>
      </w:pPr>
    </w:p>
    <w:p w:rsidR="00B74AA4" w:rsidP="003318BD" w:rsidRDefault="003318BD" w14:paraId="2E71D96C" w14:textId="785417C9">
      <w:pPr>
        <w:pStyle w:val="sccodifiedsection"/>
      </w:pPr>
      <w:bookmarkStart w:name="cs_T2C19N10_b3318f460" w:id="16"/>
      <w:r>
        <w:tab/>
      </w:r>
      <w:bookmarkStart w:name="ss_T2C19N10SD_lv1_f1251eff1" w:id="17"/>
      <w:bookmarkEnd w:id="16"/>
      <w:r>
        <w:t>(</w:t>
      </w:r>
      <w:bookmarkEnd w:id="17"/>
      <w:r>
        <w:t xml:space="preserve">D) The term of office of a member of the commission who is not a member of the General Assembly shall be for four years subject to a right of removal at any time by the person appointing him, and until his successor is appointed and qualifies.  </w:t>
      </w:r>
      <w:r>
        <w:rPr>
          <w:rStyle w:val="scstrike"/>
        </w:rPr>
        <w:t>A member of the commission who is a serving member of the General Assembly shall serve for the term of office to which he has been elected.</w:t>
      </w:r>
      <w:r>
        <w:rPr>
          <w:rStyle w:val="scinsert"/>
        </w:rPr>
        <w:t>No member of the General Assembly shall serve as a member on the commission.</w:t>
      </w:r>
    </w:p>
    <w:p w:rsidR="002D7C39" w:rsidP="00B81CAF" w:rsidRDefault="002D7C39" w14:paraId="058AE1AF" w14:textId="3AECEDF6">
      <w:pPr>
        <w:pStyle w:val="scemptyline"/>
      </w:pPr>
    </w:p>
    <w:p w:rsidR="008771C2" w:rsidP="00B81CAF" w:rsidRDefault="008771C2" w14:paraId="4485EBA6" w14:textId="6A3B9E58">
      <w:pPr>
        <w:pStyle w:val="scdirectionallanguage"/>
      </w:pPr>
      <w:bookmarkStart w:name="bs_num_2_79f5f24a4" w:id="18"/>
      <w:r>
        <w:t>S</w:t>
      </w:r>
      <w:bookmarkEnd w:id="18"/>
      <w:r>
        <w:t>ECTION 2.</w:t>
      </w:r>
      <w:r>
        <w:tab/>
      </w:r>
      <w:bookmarkStart w:name="dl_dc079059b" w:id="19"/>
      <w:r>
        <w:t>S</w:t>
      </w:r>
      <w:bookmarkEnd w:id="19"/>
      <w:r>
        <w:t>ection 2‑19‑80(A) of the S.C. Code is amended to read:</w:t>
      </w:r>
    </w:p>
    <w:p w:rsidR="008771C2" w:rsidP="00B81CAF" w:rsidRDefault="008771C2" w14:paraId="13634278" w14:textId="77777777">
      <w:pPr>
        <w:pStyle w:val="scemptyline"/>
      </w:pPr>
    </w:p>
    <w:p w:rsidR="008771C2" w:rsidP="008771C2" w:rsidRDefault="008771C2" w14:paraId="2AA4D70F" w14:textId="7D44EE81">
      <w:pPr>
        <w:pStyle w:val="sccodifiedsection"/>
      </w:pPr>
      <w:bookmarkStart w:name="cs_T2C19N80_ba3141609" w:id="20"/>
      <w:r>
        <w:tab/>
      </w:r>
      <w:bookmarkStart w:name="ss_T2C19N80SA_lv1_369f65912" w:id="21"/>
      <w:bookmarkEnd w:id="20"/>
      <w:r>
        <w:t>(</w:t>
      </w:r>
      <w:bookmarkEnd w:id="21"/>
      <w: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Pr>
          <w:rStyle w:val="scinsert"/>
        </w:rPr>
        <w:t xml:space="preserve">all </w:t>
      </w:r>
      <w:r>
        <w:t xml:space="preserve">the </w:t>
      </w:r>
      <w:r>
        <w:rPr>
          <w:rStyle w:val="scstrike"/>
        </w:rPr>
        <w:t>three</w:t>
      </w:r>
      <w:r>
        <w:t xml:space="preserve"> candidates whom it considers </w:t>
      </w:r>
      <w:r>
        <w:rPr>
          <w:rStyle w:val="scstrike"/>
        </w:rPr>
        <w:t>best</w:t>
      </w:r>
      <w:r>
        <w:t xml:space="preserve"> qualified for the judicial office under consideration.  </w:t>
      </w:r>
      <w:r>
        <w:rPr>
          <w:rStyle w:val="scstrike"/>
        </w:rPr>
        <w:t>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r>
        <w:rPr>
          <w:rStyle w:val="scinsert"/>
        </w:rPr>
        <w:t xml:space="preserve"> If the commission finds a candidate not qualified for the judicial office sought, the commission must provide the candidate a written explanation regarding the commission’s finding.</w:t>
      </w:r>
    </w:p>
    <w:p w:rsidRPr="00DF3B44" w:rsidR="008771C2" w:rsidP="00B81CAF" w:rsidRDefault="008771C2" w14:paraId="3A005A46" w14:textId="4747DAE1">
      <w:pPr>
        <w:pStyle w:val="scemptyline"/>
      </w:pPr>
    </w:p>
    <w:p w:rsidRPr="00DF3B44" w:rsidR="007A10F1" w:rsidP="007A10F1" w:rsidRDefault="008771C2" w14:paraId="0E9393B4" w14:textId="231AFF74">
      <w:pPr>
        <w:pStyle w:val="scnoncodifiedsection"/>
      </w:pPr>
      <w:bookmarkStart w:name="bs_num_3_lastsection" w:id="22"/>
      <w:bookmarkStart w:name="eff_date_section" w:id="23"/>
      <w:r>
        <w:t>S</w:t>
      </w:r>
      <w:bookmarkEnd w:id="22"/>
      <w:r>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4E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1415" w14:textId="77777777" w:rsidR="007265D0" w:rsidRDefault="007265D0" w:rsidP="0010329A">
      <w:pPr>
        <w:spacing w:after="0" w:line="240" w:lineRule="auto"/>
      </w:pPr>
      <w:r>
        <w:separator/>
      </w:r>
    </w:p>
    <w:p w14:paraId="0EDE24C0" w14:textId="77777777" w:rsidR="007265D0" w:rsidRDefault="007265D0"/>
  </w:endnote>
  <w:endnote w:type="continuationSeparator" w:id="0">
    <w:p w14:paraId="2BE986EC" w14:textId="77777777" w:rsidR="007265D0" w:rsidRDefault="007265D0" w:rsidP="0010329A">
      <w:pPr>
        <w:spacing w:after="0" w:line="240" w:lineRule="auto"/>
      </w:pPr>
      <w:r>
        <w:continuationSeparator/>
      </w:r>
    </w:p>
    <w:p w14:paraId="38E9D9E3" w14:textId="77777777" w:rsidR="007265D0" w:rsidRDefault="007265D0"/>
  </w:endnote>
  <w:endnote w:type="continuationNotice" w:id="1">
    <w:p w14:paraId="28BBCD5A" w14:textId="77777777" w:rsidR="007265D0" w:rsidRDefault="00726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6AC161" w:rsidR="00685035" w:rsidRPr="007B4AF7" w:rsidRDefault="00285A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1C0B">
              <w:rPr>
                <w:noProof/>
              </w:rPr>
              <w:t>LC-0109HA23.docx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9800" w14:textId="77777777" w:rsidR="007265D0" w:rsidRDefault="007265D0" w:rsidP="0010329A">
      <w:pPr>
        <w:spacing w:after="0" w:line="240" w:lineRule="auto"/>
      </w:pPr>
      <w:r>
        <w:separator/>
      </w:r>
    </w:p>
    <w:p w14:paraId="7EB9FD28" w14:textId="77777777" w:rsidR="007265D0" w:rsidRDefault="007265D0"/>
  </w:footnote>
  <w:footnote w:type="continuationSeparator" w:id="0">
    <w:p w14:paraId="53972002" w14:textId="77777777" w:rsidR="007265D0" w:rsidRDefault="007265D0" w:rsidP="0010329A">
      <w:pPr>
        <w:spacing w:after="0" w:line="240" w:lineRule="auto"/>
      </w:pPr>
      <w:r>
        <w:continuationSeparator/>
      </w:r>
    </w:p>
    <w:p w14:paraId="67B3D493" w14:textId="77777777" w:rsidR="007265D0" w:rsidRDefault="007265D0"/>
  </w:footnote>
  <w:footnote w:type="continuationNotice" w:id="1">
    <w:p w14:paraId="0432DB48" w14:textId="77777777" w:rsidR="007265D0" w:rsidRDefault="00726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C4D"/>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5B09"/>
    <w:rsid w:val="000E578A"/>
    <w:rsid w:val="000F2250"/>
    <w:rsid w:val="0010329A"/>
    <w:rsid w:val="001164F9"/>
    <w:rsid w:val="0011719C"/>
    <w:rsid w:val="00140049"/>
    <w:rsid w:val="001479FA"/>
    <w:rsid w:val="00171601"/>
    <w:rsid w:val="001730EB"/>
    <w:rsid w:val="00173276"/>
    <w:rsid w:val="00177A54"/>
    <w:rsid w:val="0019025B"/>
    <w:rsid w:val="00192AF7"/>
    <w:rsid w:val="00197366"/>
    <w:rsid w:val="001A136C"/>
    <w:rsid w:val="001B501C"/>
    <w:rsid w:val="001B6DA2"/>
    <w:rsid w:val="001C25EC"/>
    <w:rsid w:val="001D6C2D"/>
    <w:rsid w:val="001F2A41"/>
    <w:rsid w:val="001F313F"/>
    <w:rsid w:val="001F331D"/>
    <w:rsid w:val="001F394C"/>
    <w:rsid w:val="002038AA"/>
    <w:rsid w:val="002114C8"/>
    <w:rsid w:val="0021166F"/>
    <w:rsid w:val="002162DF"/>
    <w:rsid w:val="00230038"/>
    <w:rsid w:val="00233975"/>
    <w:rsid w:val="00236D73"/>
    <w:rsid w:val="00236FB0"/>
    <w:rsid w:val="00257F60"/>
    <w:rsid w:val="002625EA"/>
    <w:rsid w:val="00264AE9"/>
    <w:rsid w:val="00275AE6"/>
    <w:rsid w:val="002836D8"/>
    <w:rsid w:val="002A1C0B"/>
    <w:rsid w:val="002A7035"/>
    <w:rsid w:val="002A7989"/>
    <w:rsid w:val="002B02F3"/>
    <w:rsid w:val="002C3463"/>
    <w:rsid w:val="002D266D"/>
    <w:rsid w:val="002D5B3D"/>
    <w:rsid w:val="002D7447"/>
    <w:rsid w:val="002D7C39"/>
    <w:rsid w:val="002E315A"/>
    <w:rsid w:val="002E4F8C"/>
    <w:rsid w:val="002F560C"/>
    <w:rsid w:val="002F5847"/>
    <w:rsid w:val="0030425A"/>
    <w:rsid w:val="003113FD"/>
    <w:rsid w:val="003166BA"/>
    <w:rsid w:val="003318BD"/>
    <w:rsid w:val="003421F1"/>
    <w:rsid w:val="0034279C"/>
    <w:rsid w:val="00354694"/>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94B"/>
    <w:rsid w:val="00406F27"/>
    <w:rsid w:val="004125C7"/>
    <w:rsid w:val="004141B8"/>
    <w:rsid w:val="00417C75"/>
    <w:rsid w:val="004203B9"/>
    <w:rsid w:val="00432135"/>
    <w:rsid w:val="00446987"/>
    <w:rsid w:val="00446D28"/>
    <w:rsid w:val="00466CD0"/>
    <w:rsid w:val="00473583"/>
    <w:rsid w:val="004736D1"/>
    <w:rsid w:val="00477F32"/>
    <w:rsid w:val="00481850"/>
    <w:rsid w:val="004851A0"/>
    <w:rsid w:val="004860B0"/>
    <w:rsid w:val="0048627F"/>
    <w:rsid w:val="004932AB"/>
    <w:rsid w:val="00494BEF"/>
    <w:rsid w:val="004A5512"/>
    <w:rsid w:val="004A6BE5"/>
    <w:rsid w:val="004B0C18"/>
    <w:rsid w:val="004B6AF1"/>
    <w:rsid w:val="004C1A04"/>
    <w:rsid w:val="004C20BC"/>
    <w:rsid w:val="004C51FD"/>
    <w:rsid w:val="004C5C9A"/>
    <w:rsid w:val="004D1442"/>
    <w:rsid w:val="004D3DCB"/>
    <w:rsid w:val="004E7DDE"/>
    <w:rsid w:val="004F0090"/>
    <w:rsid w:val="004F172C"/>
    <w:rsid w:val="005002ED"/>
    <w:rsid w:val="00500DBC"/>
    <w:rsid w:val="005102BE"/>
    <w:rsid w:val="00511F64"/>
    <w:rsid w:val="00523F7F"/>
    <w:rsid w:val="00524D54"/>
    <w:rsid w:val="0054531B"/>
    <w:rsid w:val="00546C24"/>
    <w:rsid w:val="005476FF"/>
    <w:rsid w:val="005516F6"/>
    <w:rsid w:val="00552842"/>
    <w:rsid w:val="00554E89"/>
    <w:rsid w:val="00572281"/>
    <w:rsid w:val="005801DD"/>
    <w:rsid w:val="00592A40"/>
    <w:rsid w:val="005A28BC"/>
    <w:rsid w:val="005A5377"/>
    <w:rsid w:val="005B10F3"/>
    <w:rsid w:val="005B7817"/>
    <w:rsid w:val="005C06C8"/>
    <w:rsid w:val="005C23D7"/>
    <w:rsid w:val="005C40EB"/>
    <w:rsid w:val="005C4797"/>
    <w:rsid w:val="005D02B4"/>
    <w:rsid w:val="005D3013"/>
    <w:rsid w:val="005D4DB7"/>
    <w:rsid w:val="005E1E50"/>
    <w:rsid w:val="005E2B9C"/>
    <w:rsid w:val="005E3332"/>
    <w:rsid w:val="005F76B0"/>
    <w:rsid w:val="00604429"/>
    <w:rsid w:val="006067B0"/>
    <w:rsid w:val="00606A8B"/>
    <w:rsid w:val="00611EBA"/>
    <w:rsid w:val="006213A8"/>
    <w:rsid w:val="00623BEA"/>
    <w:rsid w:val="006242BA"/>
    <w:rsid w:val="006347E9"/>
    <w:rsid w:val="00640C87"/>
    <w:rsid w:val="006454BB"/>
    <w:rsid w:val="00657CF4"/>
    <w:rsid w:val="00663B8D"/>
    <w:rsid w:val="00663E00"/>
    <w:rsid w:val="00664F48"/>
    <w:rsid w:val="00664FAD"/>
    <w:rsid w:val="0067345B"/>
    <w:rsid w:val="00683986"/>
    <w:rsid w:val="00685035"/>
    <w:rsid w:val="00685770"/>
    <w:rsid w:val="00691E89"/>
    <w:rsid w:val="006964F9"/>
    <w:rsid w:val="006A395F"/>
    <w:rsid w:val="006A65E2"/>
    <w:rsid w:val="006B37BD"/>
    <w:rsid w:val="006C092D"/>
    <w:rsid w:val="006C099D"/>
    <w:rsid w:val="006C18F0"/>
    <w:rsid w:val="006C7E01"/>
    <w:rsid w:val="006D64A5"/>
    <w:rsid w:val="006E0935"/>
    <w:rsid w:val="006E353F"/>
    <w:rsid w:val="006E35AB"/>
    <w:rsid w:val="00711AA9"/>
    <w:rsid w:val="00714E7D"/>
    <w:rsid w:val="00722155"/>
    <w:rsid w:val="007265D0"/>
    <w:rsid w:val="00737F19"/>
    <w:rsid w:val="00776B3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7E39"/>
    <w:rsid w:val="008625C1"/>
    <w:rsid w:val="0086281D"/>
    <w:rsid w:val="00873FC8"/>
    <w:rsid w:val="008771C2"/>
    <w:rsid w:val="008806F9"/>
    <w:rsid w:val="00893B4E"/>
    <w:rsid w:val="00894129"/>
    <w:rsid w:val="008A57E3"/>
    <w:rsid w:val="008B5BF4"/>
    <w:rsid w:val="008C0CEE"/>
    <w:rsid w:val="008C1B18"/>
    <w:rsid w:val="008C53B0"/>
    <w:rsid w:val="008D2D5A"/>
    <w:rsid w:val="008D46EC"/>
    <w:rsid w:val="008E0E25"/>
    <w:rsid w:val="008E61A1"/>
    <w:rsid w:val="009125E1"/>
    <w:rsid w:val="00917EA3"/>
    <w:rsid w:val="00917EE0"/>
    <w:rsid w:val="00921C89"/>
    <w:rsid w:val="00926966"/>
    <w:rsid w:val="00926D03"/>
    <w:rsid w:val="00934036"/>
    <w:rsid w:val="00934889"/>
    <w:rsid w:val="00942EAC"/>
    <w:rsid w:val="0094541D"/>
    <w:rsid w:val="009473EA"/>
    <w:rsid w:val="00954E7E"/>
    <w:rsid w:val="009554D9"/>
    <w:rsid w:val="009555F2"/>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138"/>
    <w:rsid w:val="009E4191"/>
    <w:rsid w:val="009F2AB1"/>
    <w:rsid w:val="009F4FAF"/>
    <w:rsid w:val="009F68F1"/>
    <w:rsid w:val="00A02862"/>
    <w:rsid w:val="00A04529"/>
    <w:rsid w:val="00A0584B"/>
    <w:rsid w:val="00A17135"/>
    <w:rsid w:val="00A21A6F"/>
    <w:rsid w:val="00A24E56"/>
    <w:rsid w:val="00A26A62"/>
    <w:rsid w:val="00A35A9B"/>
    <w:rsid w:val="00A4070E"/>
    <w:rsid w:val="00A40CA0"/>
    <w:rsid w:val="00A504A7"/>
    <w:rsid w:val="00A53677"/>
    <w:rsid w:val="00A53BF2"/>
    <w:rsid w:val="00A60D68"/>
    <w:rsid w:val="00A70C9B"/>
    <w:rsid w:val="00A73EFA"/>
    <w:rsid w:val="00A77A3B"/>
    <w:rsid w:val="00A77D93"/>
    <w:rsid w:val="00A92F6F"/>
    <w:rsid w:val="00A97523"/>
    <w:rsid w:val="00AB0FA3"/>
    <w:rsid w:val="00AB73BF"/>
    <w:rsid w:val="00AC225A"/>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3C9A"/>
    <w:rsid w:val="00B74AA4"/>
    <w:rsid w:val="00B7592C"/>
    <w:rsid w:val="00B809D3"/>
    <w:rsid w:val="00B81CAF"/>
    <w:rsid w:val="00B84B66"/>
    <w:rsid w:val="00B85475"/>
    <w:rsid w:val="00B9090A"/>
    <w:rsid w:val="00B92196"/>
    <w:rsid w:val="00B9228D"/>
    <w:rsid w:val="00B929EC"/>
    <w:rsid w:val="00BA6C7A"/>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20F9"/>
    <w:rsid w:val="00C970DF"/>
    <w:rsid w:val="00CA042B"/>
    <w:rsid w:val="00CA7E71"/>
    <w:rsid w:val="00CB2673"/>
    <w:rsid w:val="00CB701D"/>
    <w:rsid w:val="00CC3F0E"/>
    <w:rsid w:val="00CD08C9"/>
    <w:rsid w:val="00CD1FE8"/>
    <w:rsid w:val="00CD38CD"/>
    <w:rsid w:val="00CD3E0C"/>
    <w:rsid w:val="00CD5565"/>
    <w:rsid w:val="00CD616C"/>
    <w:rsid w:val="00CE6258"/>
    <w:rsid w:val="00CF173F"/>
    <w:rsid w:val="00CF68D6"/>
    <w:rsid w:val="00CF7B4A"/>
    <w:rsid w:val="00D009F8"/>
    <w:rsid w:val="00D078DA"/>
    <w:rsid w:val="00D14995"/>
    <w:rsid w:val="00D2455C"/>
    <w:rsid w:val="00D25023"/>
    <w:rsid w:val="00D27F8C"/>
    <w:rsid w:val="00D33843"/>
    <w:rsid w:val="00D54A6F"/>
    <w:rsid w:val="00D55BBC"/>
    <w:rsid w:val="00D57D57"/>
    <w:rsid w:val="00D62E42"/>
    <w:rsid w:val="00D772FB"/>
    <w:rsid w:val="00DA1AA0"/>
    <w:rsid w:val="00DC44A8"/>
    <w:rsid w:val="00DE4231"/>
    <w:rsid w:val="00DE4BEE"/>
    <w:rsid w:val="00DE5B3D"/>
    <w:rsid w:val="00DE7112"/>
    <w:rsid w:val="00DF19BE"/>
    <w:rsid w:val="00DF3B44"/>
    <w:rsid w:val="00E1372E"/>
    <w:rsid w:val="00E21D30"/>
    <w:rsid w:val="00E22703"/>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DD2"/>
    <w:rsid w:val="00E84FE5"/>
    <w:rsid w:val="00E879A5"/>
    <w:rsid w:val="00E879FC"/>
    <w:rsid w:val="00EA2574"/>
    <w:rsid w:val="00EA2F1F"/>
    <w:rsid w:val="00EA3F2E"/>
    <w:rsid w:val="00EA57EC"/>
    <w:rsid w:val="00EB120E"/>
    <w:rsid w:val="00EB46E2"/>
    <w:rsid w:val="00EC0045"/>
    <w:rsid w:val="00EC1E9C"/>
    <w:rsid w:val="00EC7CC6"/>
    <w:rsid w:val="00ED36B2"/>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671"/>
    <w:rsid w:val="00F638CA"/>
    <w:rsid w:val="00F900B4"/>
    <w:rsid w:val="00FA0F2E"/>
    <w:rsid w:val="00FA2E68"/>
    <w:rsid w:val="00FA4DB1"/>
    <w:rsid w:val="00FB336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A1C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9&amp;session=125&amp;summary=B" TargetMode="External" Id="R185cff9ba7f84f2d" /><Relationship Type="http://schemas.openxmlformats.org/officeDocument/2006/relationships/hyperlink" Target="https://www.scstatehouse.gov/sess125_2023-2024/prever/4179_20230328.docx" TargetMode="External" Id="R7431a9828ba44e4c" /><Relationship Type="http://schemas.openxmlformats.org/officeDocument/2006/relationships/hyperlink" Target="h:\hj\20230328.docx" TargetMode="External" Id="Rea6739c76de246dc" /><Relationship Type="http://schemas.openxmlformats.org/officeDocument/2006/relationships/hyperlink" Target="h:\hj\20230328.docx" TargetMode="External" Id="R96226030495944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16C85"/>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2924</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2023-03-28T13:09:00Z</cp:lastPrinted>
  <dcterms:created xsi:type="dcterms:W3CDTF">2023-03-28T14:12:00Z</dcterms:created>
  <dcterms:modified xsi:type="dcterms:W3CDTF">2023-03-28T14:12:00Z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