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F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E90224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E9022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E9022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E9022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E90224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E90224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E90224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E902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E90224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E9022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E90224"/>
    <w:rPr>
      <w:noProof/>
    </w:rPr>
  </w:style>
  <w:style w:type="character" w:customStyle="1" w:styleId="sclocalcheck">
    <w:name w:val="sc_local_check"/>
    <w:uiPriority w:val="1"/>
    <w:qFormat/>
    <w:rsid w:val="00E90224"/>
    <w:rPr>
      <w:noProof/>
    </w:rPr>
  </w:style>
  <w:style w:type="character" w:customStyle="1" w:styleId="sctempcheck">
    <w:name w:val="sc_temp_check"/>
    <w:uiPriority w:val="1"/>
    <w:qFormat/>
    <w:rsid w:val="00E90224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CE5F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ID>404be57c-8cec-4796-a6c9-8fa1fb2d527b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N_SESSION>125</T_BILL_N_SESSION>
  <T_BILL_REQUEST_REQUEST>a86d4029-f503-4365-a374-2409e57ca884</T_BILL_REQUEST_REQUEST>
  <T_BILL_R_ORIGINALBILL>deb58427-deb4-4d83-b50b-8967960ebcf4</T_BILL_R_ORIGINALBILL>
  <T_BILL_R_ORIGINALDRAFT>1f55190c-e1e5-4fc1-9cc5-c97b8c6e5b08</T_BILL_R_ORIGINALDRAFT>
  <T_BILL_SPONSOR_SPONSOR>7de329dd-048d-4043-9370-f9d785c81dc3</T_BILL_SPONSOR_SPONSOR>
  <T_BILL_T_BILLNUMBER>3538</T_BILL_T_BILLNUMBER>
  <T_BILL_T_BILLTITLE>TO AMEND THE SOUTH CAROLINA CODE OF LAWS BY AMENDING SECTION 50-11-546, RELATING TO ELECTRONIC HARVEST REPORTING, SO AS TO INCLUDE REFERENCES TO BIG GAMES SPECIES AND TO OUTLINE REQUIREMENTS OF THE PERSON WHO TAKES A BIG GAME CARCASS FOR PROCESSING AND OF THE PROCESSOR; BY AMENDING SECTION 50-11-320, RELATING TO THE ISSUANCE OF TAGS FOR HUNTING AND TAKING DEER, SO AS TO INCLUDE A REFERENCE TO THE ELECTRONIC HARVEST REPORTING SYSTEM; BY AMENDING SECTION 50-11-390, RELATING TO THE DEPARTMENTAL AUTHORITY OF GAME ZONES, SO AS TO INCLUDE A REFERENCE to THE ELECTRONIC HARVEST REPORTING SYSTEM; AND BY AMENDING SECTION 50-9-1120, RELATING TO THE POINT SYSTEM FOR VIOLATIONS, SO AS TO INCLUDE A REFERENCE TO BIG GAME SPECIES.</T_BILL_T_BILLTITLE>
  <T_BILL_T_CHAMBER>house</T_BILL_T_CHAMBER>
  <T_BILL_T_LEGTYPE>bill_statewide</T_BILL_T_LEGTYPE>
  <T_BILL_T_SECTIONS>[{"SectionUUID":"5021bd73-9462-489b-8c99-05bec1910dcb","SectionName":"code_section","SectionNumber":1,"SectionType":"code_section","CodeSections":[{"CodeSectionBookmarkName":"cs_T50C11N546_9ac5d0561","IsConstitutionSection":false,"Identity":"50-11-546","IsNew":false,"SubSections":[{"Level":1,"Identity":"T50C11N546SA","SubSectionBookmarkName":"ss_T50C11N546SA_lv1_2ba168475","IsNewSubSection":false,"SubSectionReplacement":""},{"Level":1,"Identity":"T50C11N546SB","SubSectionBookmarkName":"ss_T50C11N546SB_lv1_ddfab924e","IsNewSubSection":false,"SubSectionReplacement":""},{"Level":1,"Identity":"T50C11N546SC","SubSectionBookmarkName":"ss_T50C11N546SC_lv1_9861421bb","IsNewSubSection":false,"SubSectionReplacement":""},{"Level":1,"Identity":"T50C11N546SD","SubSectionBookmarkName":"ss_T50C11N546SD_lv1_6ade513a9","IsNewSubSection":false,"SubSectionReplacement":""},{"Level":1,"Identity":"T50C11N546SE","SubSectionBookmarkName":"ss_T50C11N546SE_lv1_1db0b2a0e","IsNewSubSection":false,"SubSectionReplacement":""},{"Level":1,"Identity":"T50C11N546SF","SubSectionBookmarkName":"ss_T50C11N546SF_lv1_cad041dfc","IsNewSubSection":false,"SubSectionReplacement":""},{"Level":1,"Identity":"T50C11N546SG","SubSectionBookmarkName":"ss_T50C11N546SG_lv1_54df75739","IsNewSubSection":false,"SubSectionReplacement":""}],"TitleRelatedTo":"Electronic harvest reporting","TitleSoAsTo":"INCLUDE REFERENCES TO BIG GAME SPECIES","Deleted":false}],"TitleText":"","DisableControls":false,"Deleted":false,"RepealItems":[],"SectionBookmarkName":"bs_num_1_c199597bb"},{"SectionUUID":"0e1567cf-b5f3-4ae6-a479-79a413c55b4d","SectionName":"code_section","SectionNumber":2,"SectionType":"code_section","CodeSections":[{"CodeSectionBookmarkName":"cs_T50C11N320_87f321f21","IsConstitutionSection":false,"Identity":"50-11-320","IsNew":false,"SubSections":[{"Level":1,"Identity":"T50C11N320SB","SubSectionBookmarkName":"ss_T50C11N320SB_lv1_570baffef","IsNewSubSection":false,"SubSectionReplacement":""},{"Level":2,"Identity":"T50C11N320S1","SubSectionBookmarkName":"ss_T50C11N320S1_lv2_77f5c7d4c","IsNewSubSection":false,"SubSectionReplacement":""},{"Level":2,"Identity":"T50C11N320S2","SubSectionBookmarkName":"ss_T50C11N320S2_lv2_52527001a","IsNewSubSection":false,"SubSectionReplacement":""}],"TitleRelatedTo":"","TitleSoAsTo":"","Deleted":false}],"TitleText":"","DisableControls":false,"Deleted":false,"RepealItems":[],"SectionBookmarkName":"bs_num_2_7ab80c3d4"},{"SectionUUID":"9d18b985-8241-4266-a824-dadc51239065","SectionName":"code_section","SectionNumber":3,"SectionType":"code_section","CodeSections":[{"CodeSectionBookmarkName":"cs_T50C11N390_f0c5bc2f8","IsConstitutionSection":false,"Identity":"50-11-390","IsNew":false,"SubSections":[{"Level":1,"Identity":"T50C11N390SD","SubSectionBookmarkName":"ss_T50C11N390SD_lv1_fdcac20cc","IsNewSubSection":false,"SubSectionReplacement":""}],"TitleRelatedTo":"","TitleSoAsTo":"","Deleted":false}],"TitleText":"","DisableControls":false,"Deleted":false,"RepealItems":[],"SectionBookmarkName":"bs_num_3_a962e4bd0"},{"SectionUUID":"f50d9498-9804-491e-8523-53a889f4cf16","SectionName":"code_section","SectionNumber":4,"SectionType":"code_section","CodeSections":[{"CodeSectionBookmarkName":"cs_T50C9N1120_00b3272ee","IsConstitutionSection":false,"Identity":"50-9-1120","IsNew":false,"SubSections":[{"Level":1,"Identity":"T50C9N1120St","SubSectionBookmarkName":"ss_T50C9N1120St_lv1_48aff0455","IsNewSubSection":false,"SubSectionReplacement":""}],"TitleRelatedTo":"the Point system for violations","TitleSoAsTo":"make conforming changes","Deleted":false}],"TitleText":"","DisableControls":false,"Deleted":false,"RepealItems":[],"SectionBookmarkName":"bs_num_4_9bc43394f"},{"SectionUUID":"8f03ca95-8faa-4d43-a9c2-8afc498075bd","SectionName":"standard_eff_date_section","SectionNumber":5,"SectionType":"drafting_clause","CodeSections":[],"TitleText":"","DisableControls":false,"Deleted":false,"RepealItems":[],"SectionBookmarkName":"bs_num_5_lastsection"}]</T_BILL_T_SECTIONS>
  <T_BILL_T_SUBJECT>Harvest reporting</T_BILL_T_SUBJECT>
  <T_BILL_UR_DRAFTER>pagehilton@scstatehouse.gov</T_BILL_UR_DRAFTER>
  <T_BILL_UR_DRAFTINGASSISTANT>julienewboult@scstatehouse.gov</T_BILL_UR_DRAFTINGASSISTANT>
</lwb360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02216FC6-7EAB-4104-B5FE-2CB11996D858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1295</Words>
  <Characters>6993</Characters>
  <Application>Microsoft Office Word</Application>
  <DocSecurity>0</DocSecurity>
  <Lines>199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3538: Harvest reporting - South Carolina Legislature Online</dc:title>
  <dc:subject/>
  <dc:creator>Sean Ryan</dc:creator>
  <cp:keywords/>
  <dc:description/>
  <cp:lastModifiedBy>Danny Crook</cp:lastModifiedBy>
  <cp:revision>2</cp:revision>
  <cp:lastPrinted>2023-05-11T16:02:00Z</cp:lastPrinted>
  <dcterms:created xsi:type="dcterms:W3CDTF">2023-06-15T16:02:00Z</dcterms:created>
  <dcterms:modified xsi:type="dcterms:W3CDTF">2023-06-15T16:02:00Z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